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F9" w:rsidRPr="00C60043" w:rsidRDefault="00955AF9" w:rsidP="00955AF9">
      <w:pPr>
        <w:pStyle w:val="210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</w:p>
    <w:p w:rsidR="00955AF9" w:rsidRPr="00C60043" w:rsidRDefault="00955AF9" w:rsidP="00955AF9">
      <w:pPr>
        <w:pStyle w:val="210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</w:t>
      </w:r>
    </w:p>
    <w:p w:rsidR="00955AF9" w:rsidRPr="00C60043" w:rsidRDefault="00955AF9" w:rsidP="00955AF9">
      <w:pPr>
        <w:pStyle w:val="210"/>
        <w:spacing w:line="360" w:lineRule="auto"/>
        <w:ind w:left="0" w:right="-56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(22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dekabr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1992)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işlədilməsini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suverenliyi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şərtlərdən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sayaraq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qorunması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qayğısına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qalır,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sərhədlərindən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kənarda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yaşayan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azərbaycanlıların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təhsil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almalarına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milli-mədəni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tələbatlarını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ödəmələrinə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himayəçilik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ərazisində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statusunu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fərdlərarası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qeyri-rəsmi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münasibətlərdə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hansı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tənzimləmir.</w:t>
      </w:r>
    </w:p>
    <w:p w:rsidR="00955AF9" w:rsidRPr="00C60043" w:rsidRDefault="00955AF9" w:rsidP="00955AF9">
      <w:pPr>
        <w:pStyle w:val="ListParagraph"/>
        <w:numPr>
          <w:ilvl w:val="1"/>
          <w:numId w:val="1"/>
        </w:numPr>
        <w:tabs>
          <w:tab w:val="left" w:pos="86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Ümumi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müddəalar</w:t>
      </w:r>
      <w:r>
        <w:rPr>
          <w:b/>
          <w:sz w:val="28"/>
          <w:szCs w:val="28"/>
          <w:lang w:val="az-Latn-AZ"/>
        </w:rPr>
        <w:t xml:space="preserve"> </w:t>
      </w:r>
    </w:p>
    <w:p w:rsidR="00955AF9" w:rsidRPr="00C60043" w:rsidRDefault="00955AF9" w:rsidP="00955AF9">
      <w:pPr>
        <w:pStyle w:val="ListParagraph"/>
        <w:tabs>
          <w:tab w:val="left" w:pos="868"/>
        </w:tabs>
        <w:spacing w:line="360" w:lineRule="auto"/>
        <w:ind w:left="567" w:right="-56" w:firstLine="0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dilidir.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siyasi,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iqtisadi,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ictimai,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işlədilir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ərazisində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millətlərarası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ünsiyyət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vəzifəsini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yetirir.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Başqa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nümayəndələrinin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öyrənməsi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təqdir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yardım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göstərilir.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2.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statusunu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sahələrini,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habelə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ərazisində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yaşayan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işlədilməsi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prinsiplərini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hakimiyyəti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müəyyənləşdirir.</w:t>
      </w:r>
    </w:p>
    <w:p w:rsidR="00955AF9" w:rsidRPr="00C60043" w:rsidRDefault="00955AF9" w:rsidP="00955AF9">
      <w:pPr>
        <w:pStyle w:val="110"/>
        <w:numPr>
          <w:ilvl w:val="1"/>
          <w:numId w:val="1"/>
        </w:numPr>
        <w:tabs>
          <w:tab w:val="left" w:pos="90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Vətəndaşların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seçmək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hüququ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3.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vətəndaşlarının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təhsil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seçmək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azadlığı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ərazisində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elliklə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yaşayan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etnik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qruplara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məktəbəqədər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ümumtəhsil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müxtəlif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tipli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tədris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ayrıca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siniflər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qruplar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verilir.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lastRenderedPageBreak/>
        <w:t>Təlimin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başqa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keçildiyi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tədris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məcburi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fənn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öyrənilməsi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4.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vətəndaşlarının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göndərdikləri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təklif,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ərizə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şikayətlərə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cavablar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verilir.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5.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Mühakimə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icraatı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notariat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əməliyyatları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İşdə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iştirak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mühakimə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icraatının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aparıldığı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bilməyən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şəxslərə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materialları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tərcüməçi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tanış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məhkəmədə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tərcüməçi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vasitəsilə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iştirak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verilir.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6.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Şəxsiyyəti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məlumatı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təsdiq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rəsmi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(pasport,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kitabçası,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bilet,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tədris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bitirmək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attestat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diplom,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doğum,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nikah,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ölüm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şəhadətnamə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s.)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yazılır.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7.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Xidmət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(ticarət,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tibbi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yardım,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nəqliyyat,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məişət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xidməti,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şəhərlərarası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rabitə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s.)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işçiləri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vaxtı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işlədirlər.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bilməmək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bəhanəsi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xidmət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boyun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qaçırılması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yolverilməzdir.</w:t>
      </w:r>
    </w:p>
    <w:p w:rsidR="00955AF9" w:rsidRPr="00C60043" w:rsidRDefault="00955AF9" w:rsidP="00955AF9">
      <w:pPr>
        <w:pStyle w:val="110"/>
        <w:numPr>
          <w:ilvl w:val="1"/>
          <w:numId w:val="1"/>
        </w:numPr>
        <w:tabs>
          <w:tab w:val="left" w:pos="1106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orqanlarının,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8.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sessiyaları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mənsub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bilməyən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deputatlarına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başqa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verilir.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Sovetinin,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müzakirəsinə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aktların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layihələri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təqdim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9.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Məclisinin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komissiyalarının,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etdikləri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aktlar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dərc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lastRenderedPageBreak/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10.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Naxçıvan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Muxtar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hakimiyyət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idarəetmə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aktlarının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rəsmi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nəşrləri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buraxılır.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11.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prezidentliyinə,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yerli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seçkilərə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hazırlanır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seçki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təqdim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12.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mülkiyyətində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aparılır.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Naxçıvan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Muxtar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nazirlikləri,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blanklarının,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möhürlərinin,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ştamplarının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lövhələrinin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mətnləri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yazılır.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13.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Energetika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nəqliyyat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sistemlərinin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(magistral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dəmir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yolu,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hava,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dəniz,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boru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kəməri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nəqliyyatının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s.)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təhlükəsiz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fasiləsiz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məqsədilə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dispetçer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danışıqlarında,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sənədlərin,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sorğu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xarakterli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elanların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tərtibində,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gömrük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xidmətində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olunmuş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beynəlxalq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14.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Silahlı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Qüvvələrində,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daxili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sərhəd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qoşunlarında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işlədilir.</w:t>
      </w:r>
    </w:p>
    <w:p w:rsidR="00955AF9" w:rsidRPr="00C60043" w:rsidRDefault="00955AF9" w:rsidP="00955AF9">
      <w:pPr>
        <w:pStyle w:val="110"/>
        <w:numPr>
          <w:ilvl w:val="1"/>
          <w:numId w:val="1"/>
        </w:numPr>
        <w:tabs>
          <w:tab w:val="left" w:pos="105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İnformasiya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xüsusi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adlar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15.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ərazisində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kütləvi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informasiya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başqa,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bilər.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Yazılı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elan,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məlumat,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reklam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vizual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informasiya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zərurət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olsa,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eyni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beynəlxalq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tərtib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bilər.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istehsal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malların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etiketləri,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sənaye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ərzaq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məhsullarının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adları,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təlimat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zərurət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olsa,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xarici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yazılır.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16.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ərazisindəki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yaşayış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məntəqələrinin,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inzibati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bölgü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başqa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coğrafi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obyektlərin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yazılır,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xəritələrdə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yazılışı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tərəfindən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təsdiq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xüsusi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sorğu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kitabları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müəyyənləşdirilir.</w:t>
      </w:r>
    </w:p>
    <w:p w:rsidR="00955AF9" w:rsidRPr="00C60043" w:rsidRDefault="00955AF9" w:rsidP="00955AF9">
      <w:pPr>
        <w:pStyle w:val="a3"/>
        <w:ind w:left="0" w:right="-56" w:firstLine="567"/>
        <w:jc w:val="both"/>
        <w:rPr>
          <w:sz w:val="18"/>
          <w:szCs w:val="18"/>
          <w:lang w:val="az-Latn-AZ"/>
        </w:rPr>
      </w:pP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17.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hakimiyyəti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orqanlarının,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nazirliklərin,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komitə</w:t>
      </w:r>
      <w:r w:rsidRPr="00C60043">
        <w:rPr>
          <w:sz w:val="28"/>
          <w:szCs w:val="28"/>
          <w:lang w:val="az-Latn-AZ"/>
        </w:rPr>
        <w:softHyphen/>
        <w:t>lə</w:t>
      </w:r>
      <w:r w:rsidRPr="00C60043">
        <w:rPr>
          <w:sz w:val="28"/>
          <w:szCs w:val="28"/>
          <w:lang w:val="az-Latn-AZ"/>
        </w:rPr>
        <w:softHyphen/>
        <w:t>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bölmələrinin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yazılır.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18.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milliyyətindən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vətəndaşının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xüsusi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adından,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atasının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adından,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familiyasından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(soyadından)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ibarətdir.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“oğlu”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“qızı”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işlənir.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vətəndaşının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mənsubiyyətinə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familiya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götürmək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var.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Respublika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ərazisində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yaşayan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başqa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millətlərin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nümayəndələrinin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familiyasının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yazılışı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tənzimlənmir.</w:t>
      </w:r>
    </w:p>
    <w:p w:rsidR="00955AF9" w:rsidRPr="00C60043" w:rsidRDefault="00955AF9" w:rsidP="00955AF9">
      <w:pPr>
        <w:pStyle w:val="110"/>
        <w:numPr>
          <w:ilvl w:val="1"/>
          <w:numId w:val="1"/>
        </w:numPr>
        <w:tabs>
          <w:tab w:val="left" w:pos="98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pozulmasına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məsuliyyət</w:t>
      </w:r>
    </w:p>
    <w:p w:rsidR="00955AF9" w:rsidRPr="00C60043" w:rsidRDefault="00955AF9" w:rsidP="00955AF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b/>
          <w:sz w:val="28"/>
          <w:szCs w:val="28"/>
          <w:lang w:val="az-Latn-AZ"/>
        </w:rPr>
        <w:t>Maddə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b/>
          <w:sz w:val="28"/>
          <w:szCs w:val="28"/>
          <w:lang w:val="az-Latn-AZ"/>
        </w:rPr>
        <w:t>19.</w:t>
      </w:r>
      <w:r>
        <w:rPr>
          <w:b/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orqanlarının,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müəssisələrinin,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idarələrinin,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vəzifəli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şəxsləri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pozulmasında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təqsirkar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olduqda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</w:t>
      </w:r>
      <w:r w:rsidRPr="00C60043">
        <w:rPr>
          <w:sz w:val="28"/>
          <w:szCs w:val="28"/>
          <w:lang w:val="az-Latn-AZ"/>
        </w:rPr>
        <w:softHyphen/>
        <w:t>ve</w:t>
      </w:r>
      <w:r w:rsidRPr="00C60043">
        <w:rPr>
          <w:sz w:val="28"/>
          <w:szCs w:val="28"/>
          <w:lang w:val="az-Latn-AZ"/>
        </w:rPr>
        <w:softHyphen/>
        <w:t>ri</w:t>
      </w:r>
      <w:r w:rsidRPr="00C60043">
        <w:rPr>
          <w:sz w:val="28"/>
          <w:szCs w:val="28"/>
          <w:lang w:val="az-Latn-AZ"/>
        </w:rPr>
        <w:softHyphen/>
        <w:t>ciliyi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tutulmuş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məsuliyyətə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cəlb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edilirlər.</w:t>
      </w:r>
    </w:p>
    <w:p w:rsidR="00955AF9" w:rsidRPr="00C60043" w:rsidRDefault="00955AF9" w:rsidP="00955AF9">
      <w:pPr>
        <w:pStyle w:val="a3"/>
        <w:ind w:left="0" w:right="-56" w:firstLine="567"/>
        <w:jc w:val="both"/>
        <w:rPr>
          <w:lang w:val="az-Latn-AZ"/>
        </w:rPr>
      </w:pPr>
    </w:p>
    <w:p w:rsidR="00955AF9" w:rsidRPr="00C60043" w:rsidRDefault="00955AF9" w:rsidP="00955AF9">
      <w:pPr>
        <w:pStyle w:val="110"/>
        <w:spacing w:line="360" w:lineRule="auto"/>
        <w:ind w:left="0"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</w:t>
      </w:r>
    </w:p>
    <w:p w:rsidR="00955AF9" w:rsidRPr="00C60043" w:rsidRDefault="00955AF9" w:rsidP="00955AF9">
      <w:pPr>
        <w:spacing w:line="360" w:lineRule="auto"/>
        <w:ind w:right="-56" w:firstLine="567"/>
        <w:jc w:val="both"/>
        <w:rPr>
          <w:i/>
          <w:sz w:val="28"/>
          <w:szCs w:val="28"/>
          <w:lang w:val="az-Latn-AZ"/>
        </w:rPr>
      </w:pPr>
      <w:r w:rsidRPr="00C60043">
        <w:rPr>
          <w:i/>
          <w:sz w:val="28"/>
          <w:szCs w:val="28"/>
          <w:lang w:val="az-Latn-AZ"/>
        </w:rPr>
        <w:t>Bakı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şəhəri,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22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dekabr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1992-ci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il,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№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413.</w:t>
      </w:r>
    </w:p>
    <w:p w:rsidR="00B40483" w:rsidRPr="00955AF9" w:rsidRDefault="00B40483">
      <w:pPr>
        <w:rPr>
          <w:lang w:val="az-Latn-AZ"/>
        </w:rPr>
      </w:pPr>
      <w:bookmarkStart w:id="0" w:name="_GoBack"/>
      <w:bookmarkEnd w:id="0"/>
    </w:p>
    <w:sectPr w:rsidR="00B40483" w:rsidRPr="0095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54ABF"/>
    <w:multiLevelType w:val="hybridMultilevel"/>
    <w:tmpl w:val="14D6BF3A"/>
    <w:lvl w:ilvl="0" w:tplc="F85A3F60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</w:rPr>
    </w:lvl>
    <w:lvl w:ilvl="1" w:tplc="8FAC4062">
      <w:start w:val="1"/>
      <w:numFmt w:val="upperRoman"/>
      <w:lvlText w:val="%2."/>
      <w:lvlJc w:val="left"/>
      <w:pPr>
        <w:ind w:left="708" w:hanging="19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32EE3D48">
      <w:start w:val="1"/>
      <w:numFmt w:val="bullet"/>
      <w:lvlText w:val="•"/>
      <w:lvlJc w:val="left"/>
      <w:pPr>
        <w:ind w:left="1749" w:hanging="197"/>
      </w:pPr>
      <w:rPr>
        <w:rFonts w:hint="default"/>
      </w:rPr>
    </w:lvl>
    <w:lvl w:ilvl="3" w:tplc="41A6C8B2">
      <w:start w:val="1"/>
      <w:numFmt w:val="bullet"/>
      <w:lvlText w:val="•"/>
      <w:lvlJc w:val="left"/>
      <w:pPr>
        <w:ind w:left="2799" w:hanging="197"/>
      </w:pPr>
      <w:rPr>
        <w:rFonts w:hint="default"/>
      </w:rPr>
    </w:lvl>
    <w:lvl w:ilvl="4" w:tplc="DD582570">
      <w:start w:val="1"/>
      <w:numFmt w:val="bullet"/>
      <w:lvlText w:val="•"/>
      <w:lvlJc w:val="left"/>
      <w:pPr>
        <w:ind w:left="3848" w:hanging="197"/>
      </w:pPr>
      <w:rPr>
        <w:rFonts w:hint="default"/>
      </w:rPr>
    </w:lvl>
    <w:lvl w:ilvl="5" w:tplc="90BE5A86">
      <w:start w:val="1"/>
      <w:numFmt w:val="bullet"/>
      <w:lvlText w:val="•"/>
      <w:lvlJc w:val="left"/>
      <w:pPr>
        <w:ind w:left="4898" w:hanging="197"/>
      </w:pPr>
      <w:rPr>
        <w:rFonts w:hint="default"/>
      </w:rPr>
    </w:lvl>
    <w:lvl w:ilvl="6" w:tplc="612AE95A">
      <w:start w:val="1"/>
      <w:numFmt w:val="bullet"/>
      <w:lvlText w:val="•"/>
      <w:lvlJc w:val="left"/>
      <w:pPr>
        <w:ind w:left="5948" w:hanging="197"/>
      </w:pPr>
      <w:rPr>
        <w:rFonts w:hint="default"/>
      </w:rPr>
    </w:lvl>
    <w:lvl w:ilvl="7" w:tplc="AACA87CA">
      <w:start w:val="1"/>
      <w:numFmt w:val="bullet"/>
      <w:lvlText w:val="•"/>
      <w:lvlJc w:val="left"/>
      <w:pPr>
        <w:ind w:left="6997" w:hanging="197"/>
      </w:pPr>
      <w:rPr>
        <w:rFonts w:hint="default"/>
      </w:rPr>
    </w:lvl>
    <w:lvl w:ilvl="8" w:tplc="E206B1F4">
      <w:start w:val="1"/>
      <w:numFmt w:val="bullet"/>
      <w:lvlText w:val="•"/>
      <w:lvlJc w:val="left"/>
      <w:pPr>
        <w:ind w:left="8047" w:hanging="197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A6"/>
    <w:rsid w:val="004775A6"/>
    <w:rsid w:val="00885435"/>
    <w:rsid w:val="00955AF9"/>
    <w:rsid w:val="00B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F9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1">
    <w:name w:val="Table Normal1"/>
    <w:semiHidden/>
    <w:rsid w:val="00955AF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rsid w:val="00955AF9"/>
    <w:pPr>
      <w:spacing w:before="119"/>
      <w:ind w:left="653" w:hanging="541"/>
    </w:pPr>
    <w:rPr>
      <w:b/>
      <w:bCs/>
    </w:rPr>
  </w:style>
  <w:style w:type="paragraph" w:customStyle="1" w:styleId="21">
    <w:name w:val="Оглавление 21"/>
    <w:basedOn w:val="a"/>
    <w:rsid w:val="00955AF9"/>
    <w:pPr>
      <w:ind w:left="886" w:right="684" w:hanging="281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955AF9"/>
    <w:pPr>
      <w:ind w:left="112"/>
    </w:pPr>
  </w:style>
  <w:style w:type="character" w:customStyle="1" w:styleId="a4">
    <w:name w:val="Основной текст Знак"/>
    <w:basedOn w:val="a0"/>
    <w:link w:val="a3"/>
    <w:rsid w:val="00955AF9"/>
    <w:rPr>
      <w:rFonts w:ascii="Times New Roman" w:eastAsia="Calibri" w:hAnsi="Times New Roman" w:cs="Times New Roman"/>
      <w:lang w:val="en-US"/>
    </w:rPr>
  </w:style>
  <w:style w:type="paragraph" w:customStyle="1" w:styleId="110">
    <w:name w:val="Заголовок 11"/>
    <w:basedOn w:val="a"/>
    <w:rsid w:val="00955AF9"/>
    <w:pPr>
      <w:ind w:left="653" w:right="33"/>
      <w:outlineLvl w:val="1"/>
    </w:pPr>
    <w:rPr>
      <w:b/>
      <w:bCs/>
    </w:rPr>
  </w:style>
  <w:style w:type="paragraph" w:customStyle="1" w:styleId="210">
    <w:name w:val="Заголовок 21"/>
    <w:basedOn w:val="a"/>
    <w:rsid w:val="00955AF9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955AF9"/>
    <w:pPr>
      <w:ind w:left="112" w:hanging="331"/>
    </w:pPr>
  </w:style>
  <w:style w:type="paragraph" w:customStyle="1" w:styleId="TableParagraph">
    <w:name w:val="Table Paragraph"/>
    <w:basedOn w:val="a"/>
    <w:rsid w:val="00955AF9"/>
    <w:pPr>
      <w:spacing w:before="54"/>
    </w:pPr>
  </w:style>
  <w:style w:type="paragraph" w:styleId="a5">
    <w:name w:val="Balloon Text"/>
    <w:basedOn w:val="a"/>
    <w:link w:val="a6"/>
    <w:semiHidden/>
    <w:rsid w:val="00955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55AF9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rsid w:val="00955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55AF9"/>
    <w:rPr>
      <w:rFonts w:ascii="Times New Roman" w:eastAsia="Calibri" w:hAnsi="Times New Roman" w:cs="Times New Roman"/>
      <w:lang w:val="en-US"/>
    </w:rPr>
  </w:style>
  <w:style w:type="paragraph" w:styleId="a9">
    <w:name w:val="footer"/>
    <w:basedOn w:val="a"/>
    <w:link w:val="aa"/>
    <w:rsid w:val="00955A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55AF9"/>
    <w:rPr>
      <w:rFonts w:ascii="Times New Roman" w:eastAsia="Calibri" w:hAnsi="Times New Roman" w:cs="Times New Roman"/>
      <w:lang w:val="en-US"/>
    </w:rPr>
  </w:style>
  <w:style w:type="character" w:styleId="ab">
    <w:name w:val="Hyperlink"/>
    <w:basedOn w:val="a0"/>
    <w:rsid w:val="00955AF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F9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1">
    <w:name w:val="Table Normal1"/>
    <w:semiHidden/>
    <w:rsid w:val="00955AF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rsid w:val="00955AF9"/>
    <w:pPr>
      <w:spacing w:before="119"/>
      <w:ind w:left="653" w:hanging="541"/>
    </w:pPr>
    <w:rPr>
      <w:b/>
      <w:bCs/>
    </w:rPr>
  </w:style>
  <w:style w:type="paragraph" w:customStyle="1" w:styleId="21">
    <w:name w:val="Оглавление 21"/>
    <w:basedOn w:val="a"/>
    <w:rsid w:val="00955AF9"/>
    <w:pPr>
      <w:ind w:left="886" w:right="684" w:hanging="281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955AF9"/>
    <w:pPr>
      <w:ind w:left="112"/>
    </w:pPr>
  </w:style>
  <w:style w:type="character" w:customStyle="1" w:styleId="a4">
    <w:name w:val="Основной текст Знак"/>
    <w:basedOn w:val="a0"/>
    <w:link w:val="a3"/>
    <w:rsid w:val="00955AF9"/>
    <w:rPr>
      <w:rFonts w:ascii="Times New Roman" w:eastAsia="Calibri" w:hAnsi="Times New Roman" w:cs="Times New Roman"/>
      <w:lang w:val="en-US"/>
    </w:rPr>
  </w:style>
  <w:style w:type="paragraph" w:customStyle="1" w:styleId="110">
    <w:name w:val="Заголовок 11"/>
    <w:basedOn w:val="a"/>
    <w:rsid w:val="00955AF9"/>
    <w:pPr>
      <w:ind w:left="653" w:right="33"/>
      <w:outlineLvl w:val="1"/>
    </w:pPr>
    <w:rPr>
      <w:b/>
      <w:bCs/>
    </w:rPr>
  </w:style>
  <w:style w:type="paragraph" w:customStyle="1" w:styleId="210">
    <w:name w:val="Заголовок 21"/>
    <w:basedOn w:val="a"/>
    <w:rsid w:val="00955AF9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955AF9"/>
    <w:pPr>
      <w:ind w:left="112" w:hanging="331"/>
    </w:pPr>
  </w:style>
  <w:style w:type="paragraph" w:customStyle="1" w:styleId="TableParagraph">
    <w:name w:val="Table Paragraph"/>
    <w:basedOn w:val="a"/>
    <w:rsid w:val="00955AF9"/>
    <w:pPr>
      <w:spacing w:before="54"/>
    </w:pPr>
  </w:style>
  <w:style w:type="paragraph" w:styleId="a5">
    <w:name w:val="Balloon Text"/>
    <w:basedOn w:val="a"/>
    <w:link w:val="a6"/>
    <w:semiHidden/>
    <w:rsid w:val="00955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55AF9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rsid w:val="00955A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55AF9"/>
    <w:rPr>
      <w:rFonts w:ascii="Times New Roman" w:eastAsia="Calibri" w:hAnsi="Times New Roman" w:cs="Times New Roman"/>
      <w:lang w:val="en-US"/>
    </w:rPr>
  </w:style>
  <w:style w:type="paragraph" w:styleId="a9">
    <w:name w:val="footer"/>
    <w:basedOn w:val="a"/>
    <w:link w:val="aa"/>
    <w:rsid w:val="00955A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55AF9"/>
    <w:rPr>
      <w:rFonts w:ascii="Times New Roman" w:eastAsia="Calibri" w:hAnsi="Times New Roman" w:cs="Times New Roman"/>
      <w:lang w:val="en-US"/>
    </w:rPr>
  </w:style>
  <w:style w:type="character" w:styleId="ab">
    <w:name w:val="Hyperlink"/>
    <w:basedOn w:val="a0"/>
    <w:rsid w:val="00955A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5600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2016-10-06T05:26:00Z</dcterms:created>
  <dcterms:modified xsi:type="dcterms:W3CDTF">2016-10-06T05:26:00Z</dcterms:modified>
</cp:coreProperties>
</file>